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42F" w:rsidRDefault="0039342F" w:rsidP="0039342F">
      <w:pPr>
        <w:pStyle w:val="NormalWeb"/>
        <w:spacing w:before="0" w:beforeAutospacing="0" w:after="0" w:afterAutospacing="0"/>
        <w:jc w:val="center"/>
        <w:rPr>
          <w:rFonts w:ascii="Arial" w:eastAsia="+mn-ea" w:hAnsi="Arial" w:cs="Arial"/>
          <w:b/>
          <w:bCs/>
          <w:color w:val="002060"/>
          <w:kern w:val="24"/>
          <w:sz w:val="48"/>
          <w:szCs w:val="48"/>
        </w:rPr>
      </w:pPr>
      <w:bookmarkStart w:id="0" w:name="_GoBack"/>
      <w:bookmarkEnd w:id="0"/>
    </w:p>
    <w:p w:rsidR="0039342F" w:rsidRDefault="0039342F" w:rsidP="0039342F">
      <w:pPr>
        <w:pStyle w:val="NormalWeb"/>
        <w:spacing w:before="0" w:beforeAutospacing="0" w:after="0" w:afterAutospacing="0"/>
        <w:jc w:val="center"/>
        <w:rPr>
          <w:rFonts w:ascii="Arial" w:eastAsia="+mn-ea" w:hAnsi="Arial" w:cs="Arial"/>
          <w:b/>
          <w:bCs/>
          <w:color w:val="002060"/>
          <w:kern w:val="24"/>
          <w:sz w:val="48"/>
          <w:szCs w:val="48"/>
        </w:rPr>
      </w:pPr>
    </w:p>
    <w:p w:rsidR="0039342F" w:rsidRDefault="0039342F" w:rsidP="0039342F">
      <w:pPr>
        <w:pStyle w:val="NormalWeb"/>
        <w:spacing w:before="0" w:beforeAutospacing="0" w:after="0" w:afterAutospacing="0"/>
        <w:jc w:val="center"/>
        <w:rPr>
          <w:rFonts w:ascii="Arial" w:eastAsia="+mn-ea" w:hAnsi="Arial" w:cs="Arial"/>
          <w:b/>
          <w:bCs/>
          <w:color w:val="002060"/>
          <w:kern w:val="24"/>
          <w:sz w:val="48"/>
          <w:szCs w:val="48"/>
        </w:rPr>
      </w:pPr>
    </w:p>
    <w:p w:rsidR="0039342F" w:rsidRDefault="0039342F" w:rsidP="0039342F">
      <w:pPr>
        <w:pStyle w:val="NormalWeb"/>
        <w:spacing w:before="0" w:beforeAutospacing="0" w:after="0" w:afterAutospacing="0"/>
        <w:jc w:val="center"/>
        <w:rPr>
          <w:rFonts w:ascii="Arial" w:eastAsia="+mn-ea" w:hAnsi="Arial" w:cs="Arial"/>
          <w:b/>
          <w:bCs/>
          <w:color w:val="002060"/>
          <w:kern w:val="24"/>
          <w:sz w:val="48"/>
          <w:szCs w:val="48"/>
        </w:rPr>
      </w:pPr>
    </w:p>
    <w:p w:rsidR="0039342F" w:rsidRDefault="0039342F" w:rsidP="0039342F">
      <w:pPr>
        <w:pStyle w:val="NormalWeb"/>
        <w:spacing w:before="0" w:beforeAutospacing="0" w:after="0" w:afterAutospacing="0"/>
        <w:jc w:val="center"/>
        <w:rPr>
          <w:rFonts w:ascii="Arial" w:eastAsia="+mn-ea" w:hAnsi="Arial" w:cs="Arial"/>
          <w:b/>
          <w:bCs/>
          <w:color w:val="002060"/>
          <w:kern w:val="24"/>
          <w:sz w:val="48"/>
          <w:szCs w:val="48"/>
        </w:rPr>
      </w:pPr>
    </w:p>
    <w:p w:rsidR="0039342F" w:rsidRDefault="0039342F" w:rsidP="0039342F">
      <w:pPr>
        <w:pStyle w:val="NormalWeb"/>
        <w:spacing w:before="0" w:beforeAutospacing="0" w:after="0" w:afterAutospacing="0"/>
        <w:jc w:val="center"/>
        <w:rPr>
          <w:rFonts w:ascii="Arial" w:eastAsia="+mn-ea" w:hAnsi="Arial" w:cs="Arial"/>
          <w:b/>
          <w:bCs/>
          <w:color w:val="002060"/>
          <w:kern w:val="24"/>
          <w:sz w:val="48"/>
          <w:szCs w:val="48"/>
        </w:rPr>
      </w:pPr>
    </w:p>
    <w:p w:rsidR="0039342F" w:rsidRDefault="0039342F" w:rsidP="0039342F">
      <w:pPr>
        <w:pStyle w:val="NormalWeb"/>
        <w:spacing w:before="0" w:beforeAutospacing="0" w:after="0" w:afterAutospacing="0"/>
        <w:jc w:val="center"/>
        <w:rPr>
          <w:rFonts w:ascii="Arial" w:eastAsia="+mn-ea" w:hAnsi="Arial" w:cs="Arial"/>
          <w:b/>
          <w:bCs/>
          <w:color w:val="002060"/>
          <w:kern w:val="24"/>
          <w:sz w:val="48"/>
          <w:szCs w:val="48"/>
        </w:rPr>
      </w:pPr>
    </w:p>
    <w:p w:rsidR="0039342F" w:rsidRDefault="0039342F" w:rsidP="0039342F">
      <w:pPr>
        <w:pStyle w:val="NormalWeb"/>
        <w:spacing w:before="0" w:beforeAutospacing="0" w:after="0" w:afterAutospacing="0"/>
        <w:jc w:val="center"/>
        <w:rPr>
          <w:rFonts w:ascii="Arial" w:eastAsia="+mn-ea" w:hAnsi="Arial" w:cs="Arial"/>
          <w:b/>
          <w:bCs/>
          <w:color w:val="002060"/>
          <w:kern w:val="24"/>
          <w:sz w:val="48"/>
          <w:szCs w:val="48"/>
        </w:rPr>
      </w:pPr>
    </w:p>
    <w:p w:rsidR="0039342F" w:rsidRPr="00C26E4A" w:rsidRDefault="0039342F" w:rsidP="00590D26">
      <w:pPr>
        <w:pStyle w:val="NormalWeb"/>
        <w:spacing w:before="0" w:beforeAutospacing="0" w:after="0" w:afterAutospacing="0"/>
        <w:ind w:left="-284" w:right="-660"/>
        <w:jc w:val="both"/>
        <w:rPr>
          <w:sz w:val="44"/>
          <w:szCs w:val="44"/>
        </w:rPr>
      </w:pPr>
      <w:r w:rsidRPr="00C26E4A">
        <w:rPr>
          <w:rFonts w:ascii="Arial" w:eastAsia="+mn-ea" w:hAnsi="Arial" w:cs="Arial"/>
          <w:b/>
          <w:bCs/>
          <w:color w:val="002060"/>
          <w:kern w:val="24"/>
          <w:sz w:val="44"/>
          <w:szCs w:val="44"/>
        </w:rPr>
        <w:t>Nivel Aceptable de Seguridad Operacional (NASO) en el suministro de los Servicios de Tránsito Aéreo (ATS), a fin de reducir los riesgos operacionales y la de mejorar la prestación de los servicios</w:t>
      </w:r>
      <w:r w:rsidR="007C57F1">
        <w:rPr>
          <w:rFonts w:ascii="Arial" w:eastAsia="+mn-ea" w:hAnsi="Arial" w:cs="Arial"/>
          <w:b/>
          <w:bCs/>
          <w:color w:val="002060"/>
          <w:kern w:val="24"/>
          <w:sz w:val="44"/>
          <w:szCs w:val="44"/>
        </w:rPr>
        <w:t>.</w:t>
      </w:r>
    </w:p>
    <w:p w:rsidR="0039342F" w:rsidRPr="00FA460C" w:rsidRDefault="0039342F" w:rsidP="00590D26">
      <w:pPr>
        <w:ind w:left="-284" w:right="-660"/>
        <w:jc w:val="both"/>
        <w:rPr>
          <w:sz w:val="40"/>
          <w:szCs w:val="40"/>
        </w:rPr>
      </w:pPr>
    </w:p>
    <w:p w:rsidR="0039342F" w:rsidRDefault="0039342F">
      <w:r>
        <w:br w:type="page"/>
      </w:r>
    </w:p>
    <w:p w:rsidR="00CC777E" w:rsidRDefault="00CC777E" w:rsidP="00CC777E">
      <w:pPr>
        <w:jc w:val="center"/>
        <w:rPr>
          <w:rFonts w:ascii="Arial" w:eastAsia="+mj-ea" w:hAnsi="Arial" w:cs="Arial"/>
          <w:color w:val="002060"/>
          <w:kern w:val="24"/>
          <w:sz w:val="48"/>
          <w:szCs w:val="48"/>
        </w:rPr>
      </w:pPr>
      <w:r>
        <w:rPr>
          <w:noProof/>
          <w:lang w:eastAsia="es-PY"/>
        </w:rPr>
        <w:lastRenderedPageBreak/>
        <w:drawing>
          <wp:inline distT="0" distB="0" distL="0" distR="0" wp14:anchorId="4F77D2B4" wp14:editId="42DB161D">
            <wp:extent cx="5612130" cy="9243060"/>
            <wp:effectExtent l="0" t="0" r="7620" b="0"/>
            <wp:docPr id="3" name="Imagen 3" descr="C:\Users\usuario\Documents\Scan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uario\Documents\Scan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924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77E" w:rsidRDefault="00CC777E" w:rsidP="0039342F">
      <w:pPr>
        <w:jc w:val="center"/>
        <w:rPr>
          <w:rFonts w:ascii="Arial" w:eastAsia="+mj-ea" w:hAnsi="Arial" w:cs="Arial"/>
          <w:color w:val="002060"/>
          <w:kern w:val="24"/>
          <w:sz w:val="48"/>
          <w:szCs w:val="48"/>
        </w:rPr>
      </w:pPr>
      <w:r>
        <w:rPr>
          <w:noProof/>
          <w:lang w:eastAsia="es-PY"/>
        </w:rPr>
        <w:lastRenderedPageBreak/>
        <w:drawing>
          <wp:inline distT="0" distB="0" distL="0" distR="0" wp14:anchorId="3529FCD0" wp14:editId="26D48484">
            <wp:extent cx="5612130" cy="9243060"/>
            <wp:effectExtent l="0" t="0" r="7620" b="0"/>
            <wp:docPr id="4" name="Imagen 4" descr="C:\Users\usuario\Documents\Scan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uario\Documents\Scan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924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42F" w:rsidRPr="00FA460C" w:rsidRDefault="0039342F" w:rsidP="002575B2">
      <w:pPr>
        <w:ind w:left="-284" w:right="-518"/>
        <w:jc w:val="both"/>
        <w:rPr>
          <w:rFonts w:ascii="Arial" w:eastAsia="+mj-ea" w:hAnsi="Arial" w:cs="Arial"/>
          <w:color w:val="002060"/>
          <w:kern w:val="24"/>
          <w:sz w:val="44"/>
          <w:szCs w:val="44"/>
        </w:rPr>
      </w:pPr>
      <w:r w:rsidRPr="00FA460C">
        <w:rPr>
          <w:rFonts w:ascii="Arial" w:eastAsia="+mj-ea" w:hAnsi="Arial" w:cs="Arial"/>
          <w:color w:val="002060"/>
          <w:kern w:val="24"/>
          <w:sz w:val="44"/>
          <w:szCs w:val="44"/>
        </w:rPr>
        <w:lastRenderedPageBreak/>
        <w:t xml:space="preserve">Indicador de Desempeño de la Seguridad </w:t>
      </w:r>
      <w:r w:rsidR="002575B2" w:rsidRPr="00FA460C">
        <w:rPr>
          <w:rFonts w:ascii="Arial" w:eastAsia="+mj-ea" w:hAnsi="Arial" w:cs="Arial"/>
          <w:color w:val="002060"/>
          <w:kern w:val="24"/>
          <w:sz w:val="44"/>
          <w:szCs w:val="44"/>
        </w:rPr>
        <w:t>Operacional</w:t>
      </w:r>
      <w:r w:rsidR="007C57F1">
        <w:rPr>
          <w:rFonts w:ascii="Arial" w:eastAsia="+mj-ea" w:hAnsi="Arial" w:cs="Arial"/>
          <w:color w:val="002060"/>
          <w:kern w:val="24"/>
          <w:sz w:val="44"/>
          <w:szCs w:val="44"/>
        </w:rPr>
        <w:t xml:space="preserve"> </w:t>
      </w:r>
      <w:r w:rsidR="002575B2" w:rsidRPr="00FA460C">
        <w:rPr>
          <w:rFonts w:ascii="Arial" w:eastAsia="+mj-ea" w:hAnsi="Arial" w:cs="Arial"/>
          <w:color w:val="002060"/>
          <w:kern w:val="24"/>
          <w:sz w:val="44"/>
          <w:szCs w:val="44"/>
        </w:rPr>
        <w:t xml:space="preserve"> </w:t>
      </w:r>
      <w:r w:rsidR="007C57F1">
        <w:rPr>
          <w:rFonts w:ascii="Arial" w:eastAsia="+mj-ea" w:hAnsi="Arial" w:cs="Arial"/>
          <w:color w:val="002060"/>
          <w:kern w:val="24"/>
          <w:sz w:val="44"/>
          <w:szCs w:val="44"/>
        </w:rPr>
        <w:t>(</w:t>
      </w:r>
      <w:r w:rsidR="002575B2" w:rsidRPr="00FA460C">
        <w:rPr>
          <w:rFonts w:ascii="Arial" w:eastAsia="+mj-ea" w:hAnsi="Arial" w:cs="Arial"/>
          <w:color w:val="002060"/>
          <w:kern w:val="24"/>
          <w:sz w:val="44"/>
          <w:szCs w:val="44"/>
        </w:rPr>
        <w:t>IDSO</w:t>
      </w:r>
      <w:r w:rsidR="007C57F1">
        <w:rPr>
          <w:rFonts w:ascii="Arial" w:eastAsia="+mj-ea" w:hAnsi="Arial" w:cs="Arial"/>
          <w:color w:val="002060"/>
          <w:kern w:val="24"/>
          <w:sz w:val="44"/>
          <w:szCs w:val="44"/>
        </w:rPr>
        <w:t xml:space="preserve">) </w:t>
      </w:r>
      <w:r w:rsidR="002575B2" w:rsidRPr="00FA460C">
        <w:rPr>
          <w:rFonts w:ascii="Arial" w:eastAsia="+mj-ea" w:hAnsi="Arial" w:cs="Arial"/>
          <w:color w:val="002060"/>
          <w:kern w:val="24"/>
          <w:sz w:val="44"/>
          <w:szCs w:val="44"/>
        </w:rPr>
        <w:t xml:space="preserve">Aprobado </w:t>
      </w:r>
      <w:r w:rsidR="007C57F1">
        <w:rPr>
          <w:rFonts w:ascii="Arial" w:eastAsia="+mj-ea" w:hAnsi="Arial" w:cs="Arial"/>
          <w:color w:val="002060"/>
          <w:kern w:val="24"/>
          <w:sz w:val="44"/>
          <w:szCs w:val="44"/>
        </w:rPr>
        <w:t xml:space="preserve"> </w:t>
      </w:r>
      <w:r w:rsidRPr="00FA460C">
        <w:rPr>
          <w:rFonts w:ascii="Arial" w:eastAsia="+mj-ea" w:hAnsi="Arial" w:cs="Arial"/>
          <w:color w:val="002060"/>
          <w:kern w:val="24"/>
          <w:sz w:val="44"/>
          <w:szCs w:val="44"/>
        </w:rPr>
        <w:t>por</w:t>
      </w:r>
      <w:r w:rsidR="007C57F1">
        <w:rPr>
          <w:rFonts w:ascii="Arial" w:eastAsia="+mj-ea" w:hAnsi="Arial" w:cs="Arial"/>
          <w:color w:val="002060"/>
          <w:kern w:val="24"/>
          <w:sz w:val="44"/>
          <w:szCs w:val="44"/>
        </w:rPr>
        <w:t xml:space="preserve"> </w:t>
      </w:r>
      <w:r w:rsidRPr="00FA460C">
        <w:rPr>
          <w:rFonts w:ascii="Arial" w:eastAsia="+mj-ea" w:hAnsi="Arial" w:cs="Arial"/>
          <w:color w:val="002060"/>
          <w:kern w:val="24"/>
          <w:sz w:val="44"/>
          <w:szCs w:val="44"/>
        </w:rPr>
        <w:t xml:space="preserve"> </w:t>
      </w:r>
      <w:r w:rsidR="002575B2" w:rsidRPr="00FA460C">
        <w:rPr>
          <w:rFonts w:ascii="Arial" w:eastAsia="+mj-ea" w:hAnsi="Arial" w:cs="Arial"/>
          <w:color w:val="002060"/>
          <w:kern w:val="24"/>
          <w:sz w:val="44"/>
          <w:szCs w:val="44"/>
        </w:rPr>
        <w:t>Resolución</w:t>
      </w:r>
      <w:r w:rsidRPr="00FA460C">
        <w:rPr>
          <w:rFonts w:ascii="Arial" w:eastAsia="+mj-ea" w:hAnsi="Arial" w:cs="Arial"/>
          <w:color w:val="002060"/>
          <w:kern w:val="24"/>
          <w:sz w:val="44"/>
          <w:szCs w:val="44"/>
        </w:rPr>
        <w:t xml:space="preserve"> </w:t>
      </w:r>
      <w:r w:rsidR="007C57F1">
        <w:rPr>
          <w:rFonts w:ascii="Arial" w:eastAsia="+mj-ea" w:hAnsi="Arial" w:cs="Arial"/>
          <w:color w:val="002060"/>
          <w:kern w:val="24"/>
          <w:sz w:val="44"/>
          <w:szCs w:val="44"/>
        </w:rPr>
        <w:t xml:space="preserve">DINAC </w:t>
      </w:r>
      <w:r w:rsidRPr="00FA460C">
        <w:rPr>
          <w:rFonts w:ascii="Arial" w:eastAsia="+mj-ea" w:hAnsi="Arial" w:cs="Arial"/>
          <w:color w:val="002060"/>
          <w:kern w:val="24"/>
          <w:sz w:val="44"/>
          <w:szCs w:val="44"/>
        </w:rPr>
        <w:t>N° 2059 del 2015</w:t>
      </w:r>
      <w:r w:rsidR="007C57F1">
        <w:rPr>
          <w:rFonts w:ascii="Arial" w:eastAsia="+mj-ea" w:hAnsi="Arial" w:cs="Arial"/>
          <w:color w:val="002060"/>
          <w:kern w:val="24"/>
          <w:sz w:val="44"/>
          <w:szCs w:val="44"/>
        </w:rPr>
        <w:t>.</w:t>
      </w:r>
    </w:p>
    <w:p w:rsidR="0039342F" w:rsidRPr="00A936C8" w:rsidRDefault="0039342F" w:rsidP="002575B2">
      <w:pPr>
        <w:pStyle w:val="NormalWeb"/>
        <w:spacing w:before="0" w:beforeAutospacing="0" w:after="0" w:afterAutospacing="0"/>
        <w:ind w:left="-284" w:right="-518"/>
        <w:jc w:val="both"/>
        <w:rPr>
          <w:rFonts w:ascii="Arial" w:eastAsia="+mn-ea" w:hAnsi="Arial" w:cs="Arial"/>
          <w:color w:val="000000"/>
          <w:kern w:val="24"/>
          <w:sz w:val="36"/>
          <w:szCs w:val="36"/>
        </w:rPr>
      </w:pPr>
      <w:r w:rsidRPr="00A936C8">
        <w:rPr>
          <w:rFonts w:ascii="Arial" w:eastAsia="+mn-ea" w:hAnsi="Arial" w:cs="Arial"/>
          <w:color w:val="000000"/>
          <w:kern w:val="24"/>
          <w:sz w:val="36"/>
          <w:szCs w:val="36"/>
        </w:rPr>
        <w:t>Es el indicador relacionado al número de incidentes de tránsito aéreo investigados por el Centro de Investigación y Prevención de Accidentes de Aviación-CIPAA, con factor contribuyente operacional ATS, considerando 10.000 movimientos en el espacio aéreo bajo la jurisdicción del Proveedor de Servicio de Tránsito Aéreo, en el periodo de un (1) año.</w:t>
      </w:r>
    </w:p>
    <w:p w:rsidR="0039342F" w:rsidRPr="00A936C8" w:rsidRDefault="0039342F" w:rsidP="002575B2">
      <w:pPr>
        <w:pStyle w:val="NormalWeb"/>
        <w:spacing w:before="0" w:beforeAutospacing="0" w:after="0" w:afterAutospacing="0"/>
        <w:ind w:left="-284" w:right="-518"/>
        <w:jc w:val="both"/>
        <w:rPr>
          <w:sz w:val="14"/>
          <w:szCs w:val="36"/>
        </w:rPr>
      </w:pPr>
    </w:p>
    <w:p w:rsidR="0039342F" w:rsidRPr="00A936C8" w:rsidRDefault="0039342F" w:rsidP="002575B2">
      <w:pPr>
        <w:pStyle w:val="NormalWeb"/>
        <w:spacing w:before="0" w:beforeAutospacing="0" w:after="0" w:afterAutospacing="0"/>
        <w:ind w:left="-284" w:right="-518"/>
        <w:jc w:val="both"/>
        <w:rPr>
          <w:rFonts w:ascii="Arial" w:eastAsia="+mn-ea" w:hAnsi="Arial" w:cs="Arial"/>
          <w:b/>
          <w:bCs/>
          <w:i/>
          <w:iCs/>
          <w:color w:val="000000" w:themeColor="text1"/>
          <w:kern w:val="24"/>
          <w:sz w:val="36"/>
          <w:szCs w:val="36"/>
        </w:rPr>
      </w:pPr>
      <w:r w:rsidRPr="00A936C8">
        <w:rPr>
          <w:rFonts w:ascii="Arial" w:eastAsia="+mn-ea" w:hAnsi="Arial" w:cs="Arial"/>
          <w:b/>
          <w:bCs/>
          <w:i/>
          <w:iCs/>
          <w:color w:val="000000" w:themeColor="text1"/>
          <w:kern w:val="24"/>
          <w:sz w:val="36"/>
          <w:szCs w:val="36"/>
        </w:rPr>
        <w:t>Para el cálculo del IDSO se utiliza  la  fórmula  que figura en el Apéndice 4 del Capítulo 4 del Doc.9859 AN/474-OACI Manual de Gestión de la Seguridad Operacional, Tercera Edición-año 2013.</w:t>
      </w:r>
    </w:p>
    <w:p w:rsidR="0039342F" w:rsidRPr="00A936C8" w:rsidRDefault="0039342F" w:rsidP="002575B2">
      <w:pPr>
        <w:pStyle w:val="NormalWeb"/>
        <w:spacing w:before="0" w:beforeAutospacing="0" w:after="0" w:afterAutospacing="0"/>
        <w:ind w:left="-284" w:right="-518"/>
        <w:rPr>
          <w:sz w:val="2"/>
          <w:szCs w:val="36"/>
        </w:rPr>
      </w:pPr>
    </w:p>
    <w:p w:rsidR="0039342F" w:rsidRPr="00A936C8" w:rsidRDefault="0039342F" w:rsidP="002575B2">
      <w:pPr>
        <w:pStyle w:val="NormalWeb"/>
        <w:spacing w:before="0" w:beforeAutospacing="0" w:after="0" w:afterAutospacing="0"/>
        <w:ind w:left="-284" w:right="-518"/>
        <w:jc w:val="center"/>
        <w:rPr>
          <w:sz w:val="36"/>
          <w:szCs w:val="36"/>
        </w:rPr>
      </w:pPr>
    </w:p>
    <w:p w:rsidR="0039342F" w:rsidRPr="00A936C8" w:rsidRDefault="0039342F" w:rsidP="002575B2">
      <w:pPr>
        <w:pStyle w:val="NormalWeb"/>
        <w:spacing w:before="0" w:beforeAutospacing="0" w:after="0" w:afterAutospacing="0"/>
        <w:ind w:left="-284" w:right="-518"/>
        <w:jc w:val="center"/>
        <w:rPr>
          <w:color w:val="000000" w:themeColor="text1"/>
          <w:sz w:val="36"/>
          <w:szCs w:val="36"/>
        </w:rPr>
      </w:pPr>
      <w:r w:rsidRPr="00A936C8">
        <w:rPr>
          <w:rFonts w:ascii="Arial" w:eastAsia="+mn-ea" w:hAnsi="Arial" w:cs="Arial"/>
          <w:b/>
          <w:bCs/>
          <w:color w:val="000000" w:themeColor="text1"/>
          <w:kern w:val="24"/>
          <w:sz w:val="36"/>
          <w:szCs w:val="36"/>
        </w:rPr>
        <w:t>IDSO= (</w:t>
      </w:r>
      <w:r w:rsidRPr="00A936C8">
        <w:rPr>
          <w:rFonts w:ascii="Arial" w:eastAsia="+mn-ea" w:hAnsi="Arial" w:cs="Arial"/>
          <w:b/>
          <w:bCs/>
          <w:color w:val="000000" w:themeColor="text1"/>
          <w:kern w:val="24"/>
          <w:sz w:val="36"/>
          <w:szCs w:val="36"/>
          <w:u w:val="single"/>
        </w:rPr>
        <w:t>Incidentes de Tránsito Aéreo –año X 10.000)</w:t>
      </w:r>
    </w:p>
    <w:p w:rsidR="0039342F" w:rsidRPr="00A936C8" w:rsidRDefault="0039342F" w:rsidP="002575B2">
      <w:pPr>
        <w:pStyle w:val="NormalWeb"/>
        <w:spacing w:before="0" w:beforeAutospacing="0" w:after="0" w:afterAutospacing="0"/>
        <w:ind w:left="-284" w:right="-518"/>
        <w:jc w:val="center"/>
        <w:rPr>
          <w:color w:val="000000" w:themeColor="text1"/>
          <w:sz w:val="36"/>
          <w:szCs w:val="36"/>
        </w:rPr>
      </w:pPr>
      <w:r w:rsidRPr="00A936C8">
        <w:rPr>
          <w:rFonts w:ascii="Arial" w:eastAsia="+mn-ea" w:hAnsi="Arial" w:cs="Arial"/>
          <w:b/>
          <w:bCs/>
          <w:color w:val="000000" w:themeColor="text1"/>
          <w:kern w:val="24"/>
          <w:sz w:val="36"/>
          <w:szCs w:val="36"/>
        </w:rPr>
        <w:t>Movimientos aéreos –año</w:t>
      </w:r>
    </w:p>
    <w:p w:rsidR="0039342F" w:rsidRPr="00A936C8" w:rsidRDefault="0039342F" w:rsidP="00707226">
      <w:pPr>
        <w:ind w:right="-518"/>
        <w:rPr>
          <w:color w:val="000000" w:themeColor="text1"/>
          <w:sz w:val="36"/>
          <w:szCs w:val="36"/>
        </w:rPr>
      </w:pPr>
    </w:p>
    <w:p w:rsidR="0039342F" w:rsidRPr="00A936C8" w:rsidRDefault="0039342F">
      <w:pPr>
        <w:rPr>
          <w:sz w:val="36"/>
          <w:szCs w:val="36"/>
        </w:rPr>
      </w:pPr>
    </w:p>
    <w:sectPr w:rsidR="0039342F" w:rsidRPr="00A936C8" w:rsidSect="00A02A3B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42F"/>
    <w:rsid w:val="002575B2"/>
    <w:rsid w:val="0039342F"/>
    <w:rsid w:val="00590D26"/>
    <w:rsid w:val="00707226"/>
    <w:rsid w:val="007C57F1"/>
    <w:rsid w:val="00A02A3B"/>
    <w:rsid w:val="00A936C8"/>
    <w:rsid w:val="00B813E8"/>
    <w:rsid w:val="00C26E4A"/>
    <w:rsid w:val="00CC777E"/>
    <w:rsid w:val="00E5264C"/>
    <w:rsid w:val="00EC12FE"/>
    <w:rsid w:val="00FA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93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Y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3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34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93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Y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3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34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5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01FC5-87BE-4643-B3B0-4F9E0F021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144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17</cp:revision>
  <dcterms:created xsi:type="dcterms:W3CDTF">2018-12-04T14:01:00Z</dcterms:created>
  <dcterms:modified xsi:type="dcterms:W3CDTF">2018-12-10T10:32:00Z</dcterms:modified>
</cp:coreProperties>
</file>